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7C2146">
      <w:pPr>
        <w:pStyle w:val="Header"/>
        <w:widowControl w:val="0"/>
        <w:spacing w:after="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00BF12CE">
        <w:rPr>
          <w:rFonts w:ascii="Arial" w:hAnsi="Arial" w:cs="Arial"/>
          <w:b/>
          <w:bCs/>
          <w:lang w:val="en-GB"/>
        </w:rPr>
        <w:t>bis</w:t>
      </w:r>
      <w:r w:rsidRPr="00BD722C">
        <w:rPr>
          <w:rFonts w:ascii="Arial" w:hAnsi="Arial" w:cs="Arial"/>
          <w:b/>
          <w:bCs/>
          <w:lang w:val="en-GB"/>
        </w:rPr>
        <w:t xml:space="preserve">                                       </w:t>
      </w:r>
      <w:r w:rsidR="00BF12CE">
        <w:rPr>
          <w:rFonts w:ascii="Arial" w:hAnsi="Arial" w:cs="Arial"/>
          <w:b/>
          <w:bCs/>
          <w:lang w:val="en-GB"/>
        </w:rPr>
        <w:tab/>
      </w:r>
      <w:r w:rsidR="003E4867" w:rsidRPr="00F53939">
        <w:rPr>
          <w:rFonts w:ascii="Arial" w:hAnsi="Arial" w:cs="Arial"/>
          <w:b/>
          <w:bCs/>
          <w:lang w:val="en-GB"/>
        </w:rPr>
        <w:t>R2-1</w:t>
      </w:r>
      <w:r w:rsidR="00BF12CE">
        <w:rPr>
          <w:rFonts w:ascii="Arial" w:hAnsi="Arial" w:cs="Arial"/>
          <w:b/>
          <w:bCs/>
          <w:lang w:val="en-GB"/>
        </w:rPr>
        <w:t>9</w:t>
      </w:r>
      <w:r w:rsidR="00F352AF">
        <w:rPr>
          <w:rFonts w:ascii="Arial" w:hAnsi="Arial" w:cs="Arial"/>
          <w:b/>
          <w:bCs/>
          <w:lang w:val="en-GB"/>
        </w:rPr>
        <w:t>04457</w:t>
      </w:r>
      <w:bookmarkStart w:id="0" w:name="_GoBack"/>
      <w:bookmarkEnd w:id="0"/>
    </w:p>
    <w:p w:rsidR="00F83230" w:rsidRPr="000E11F8" w:rsidRDefault="004803B5" w:rsidP="007C2146">
      <w:pPr>
        <w:pStyle w:val="Header"/>
        <w:spacing w:after="0"/>
        <w:rPr>
          <w:rFonts w:ascii="Arial" w:hAnsi="Arial" w:cs="Arial"/>
          <w:b/>
          <w:lang w:val="en-GB"/>
        </w:rPr>
      </w:pPr>
      <w:r w:rsidRPr="000E11F8">
        <w:rPr>
          <w:rFonts w:ascii="Arial" w:hAnsi="Arial" w:cs="Arial"/>
          <w:b/>
          <w:lang w:val="en-GB"/>
        </w:rPr>
        <w:t>Xi'an, China, 8</w:t>
      </w:r>
      <w:r w:rsidRPr="000E11F8">
        <w:rPr>
          <w:rFonts w:ascii="Arial" w:hAnsi="Arial" w:cs="Arial"/>
          <w:b/>
          <w:vertAlign w:val="superscript"/>
          <w:lang w:val="en-GB"/>
        </w:rPr>
        <w:t>th</w:t>
      </w:r>
      <w:r w:rsidR="00D13177" w:rsidRPr="000E11F8">
        <w:rPr>
          <w:rFonts w:ascii="Arial" w:hAnsi="Arial" w:cs="Arial"/>
          <w:b/>
          <w:lang w:val="en-GB"/>
        </w:rPr>
        <w:t xml:space="preserve"> </w:t>
      </w:r>
      <w:r w:rsidRPr="000E11F8">
        <w:rPr>
          <w:rFonts w:ascii="Arial" w:hAnsi="Arial" w:cs="Arial"/>
          <w:b/>
          <w:lang w:val="en-GB"/>
        </w:rPr>
        <w:t>April - 12</w:t>
      </w:r>
      <w:r w:rsidRPr="000E11F8">
        <w:rPr>
          <w:rFonts w:ascii="Arial" w:hAnsi="Arial" w:cs="Arial"/>
          <w:b/>
          <w:vertAlign w:val="superscript"/>
          <w:lang w:val="en-GB"/>
        </w:rPr>
        <w:t>th</w:t>
      </w:r>
      <w:r w:rsidR="00D13177" w:rsidRPr="000E11F8">
        <w:rPr>
          <w:rFonts w:ascii="Arial" w:hAnsi="Arial" w:cs="Arial"/>
          <w:b/>
          <w:lang w:val="en-GB"/>
        </w:rPr>
        <w:t xml:space="preserve"> </w:t>
      </w:r>
      <w:r w:rsidRPr="000E11F8">
        <w:rPr>
          <w:rFonts w:ascii="Arial" w:hAnsi="Arial" w:cs="Arial"/>
          <w:b/>
          <w:lang w:val="en-GB"/>
        </w:rPr>
        <w:t>April 2019</w:t>
      </w:r>
      <w:r w:rsidR="0051520E" w:rsidRPr="000E11F8">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6C5792">
        <w:rPr>
          <w:rFonts w:ascii="Arial" w:hAnsi="Arial" w:cs="Arial"/>
          <w:b/>
          <w:bCs/>
          <w:szCs w:val="20"/>
          <w:lang w:val="en-GB" w:eastAsia="zh-CN"/>
        </w:rPr>
        <w:t>4.2</w:t>
      </w:r>
      <w:r w:rsidR="009B536E">
        <w:rPr>
          <w:rFonts w:ascii="Arial" w:hAnsi="Arial" w:cs="Arial"/>
          <w:b/>
          <w:bCs/>
          <w:szCs w:val="20"/>
          <w:lang w:val="en-GB" w:eastAsia="zh-CN"/>
        </w:rPr>
        <w:t>, 11.4.3</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3A14E0" w:rsidRPr="003A14E0">
        <w:rPr>
          <w:rFonts w:ascii="Arial" w:hAnsi="Arial" w:cs="Arial"/>
          <w:b/>
          <w:bCs/>
          <w:szCs w:val="20"/>
          <w:lang w:val="en-GB" w:eastAsia="zh-CN"/>
        </w:rPr>
        <w:t>RRC framework for Sidelink</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Pr="004C453B" w:rsidRDefault="009839CC" w:rsidP="009839CC">
      <w:pPr>
        <w:rPr>
          <w:sz w:val="20"/>
          <w:lang w:val="en-GB" w:eastAsia="zh-CN"/>
        </w:rPr>
      </w:pPr>
      <w:r>
        <w:rPr>
          <w:lang w:val="en-GB" w:eastAsia="zh-CN"/>
        </w:rPr>
        <w:t xml:space="preserve">The NR V2X WI has just been approved in RAN#83 plenary. RAN2 should now start the work with a discussion on </w:t>
      </w:r>
      <w:r w:rsidRPr="009839CC">
        <w:rPr>
          <w:lang w:val="en-GB" w:eastAsia="zh-CN"/>
        </w:rPr>
        <w:t xml:space="preserve">L2/3 protocols for mode 1 </w:t>
      </w:r>
      <w:r>
        <w:rPr>
          <w:lang w:val="en-GB" w:eastAsia="zh-CN"/>
        </w:rPr>
        <w:t xml:space="preserve">and mode 2 </w:t>
      </w:r>
      <w:r w:rsidRPr="009839CC">
        <w:rPr>
          <w:lang w:val="en-GB" w:eastAsia="zh-CN"/>
        </w:rPr>
        <w:t>resource allocation</w:t>
      </w:r>
      <w:r>
        <w:rPr>
          <w:lang w:val="en-GB" w:eastAsia="zh-CN"/>
        </w:rPr>
        <w:t xml:space="preserve">. Since the number of RAN2 meetings to complete the work is quite limited, we need to reuse basic concepts from LTE V2X. </w:t>
      </w:r>
      <w:r>
        <w:t>This document discusses</w:t>
      </w:r>
      <w:r w:rsidRPr="00FB2234">
        <w:t xml:space="preserve"> </w:t>
      </w:r>
      <w:r>
        <w:t>RRC procedures and information to be sent to NW/UE for NR V2X WI</w:t>
      </w:r>
      <w:r w:rsidRPr="00FB2234">
        <w:t>.</w:t>
      </w:r>
      <w:r w:rsidRPr="004C453B">
        <w:rPr>
          <w:sz w:val="20"/>
          <w:lang w:val="en-GB" w:eastAsia="zh-CN"/>
        </w:rPr>
        <w:t xml:space="preserve"> </w:t>
      </w:r>
    </w:p>
    <w:p w:rsidR="001463A9" w:rsidRPr="00C70A9B" w:rsidRDefault="007B7AE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Basic Framework: R</w:t>
      </w:r>
      <w:r w:rsidR="00724727">
        <w:rPr>
          <w:rFonts w:eastAsia="Times New Roman" w:cs="Arial"/>
          <w:b w:val="0"/>
          <w:bCs w:val="0"/>
          <w:sz w:val="36"/>
          <w:szCs w:val="36"/>
          <w:lang w:val="en-GB" w:eastAsia="zh-CN"/>
        </w:rPr>
        <w:t>eusing LTE Mode 3 and Mode 4</w:t>
      </w:r>
    </w:p>
    <w:p w:rsidR="00665231" w:rsidRDefault="00724727" w:rsidP="00665231">
      <w:pPr>
        <w:rPr>
          <w:rFonts w:asciiTheme="minorHAnsi" w:hAnsiTheme="minorHAnsi"/>
          <w:b/>
        </w:rPr>
      </w:pPr>
      <w:r>
        <w:t>The LTE V2X can be a good starting point</w:t>
      </w:r>
      <w:r w:rsidR="00665231" w:rsidRPr="00F63085">
        <w:rPr>
          <w:rFonts w:asciiTheme="minorHAnsi" w:hAnsiTheme="minorHAnsi"/>
          <w:b/>
        </w:rPr>
        <w:t>.</w:t>
      </w:r>
    </w:p>
    <w:p w:rsidR="00A1482E" w:rsidRDefault="00A1482E" w:rsidP="00A1482E">
      <w:pPr>
        <w:pStyle w:val="TH"/>
      </w:pPr>
      <w:r w:rsidRPr="00D0452D">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8" o:title=""/>
          </v:shape>
          <o:OLEObject Type="Embed" ProgID="Word.Picture.8" ShapeID="_x0000_i1025" DrawAspect="Content" ObjectID="_1615304657" r:id="rId9"/>
        </w:object>
      </w:r>
    </w:p>
    <w:p w:rsidR="00A1482E" w:rsidRPr="00D0452D" w:rsidRDefault="00A1482E" w:rsidP="00A1482E">
      <w:pPr>
        <w:pStyle w:val="Caption"/>
        <w:rPr>
          <w:lang w:val="en-GB"/>
        </w:rPr>
      </w:pPr>
      <w:r>
        <w:t xml:space="preserve">Figure </w:t>
      </w:r>
      <w:r w:rsidR="00674767">
        <w:rPr>
          <w:noProof/>
        </w:rPr>
        <w:fldChar w:fldCharType="begin"/>
      </w:r>
      <w:r w:rsidR="00674767">
        <w:rPr>
          <w:noProof/>
        </w:rPr>
        <w:instrText xml:space="preserve"> SEQ Figure \* ARABIC </w:instrText>
      </w:r>
      <w:r w:rsidR="00674767">
        <w:rPr>
          <w:noProof/>
        </w:rPr>
        <w:fldChar w:fldCharType="separate"/>
      </w:r>
      <w:r>
        <w:rPr>
          <w:noProof/>
        </w:rPr>
        <w:t>1</w:t>
      </w:r>
      <w:r w:rsidR="00674767">
        <w:rPr>
          <w:noProof/>
        </w:rPr>
        <w:fldChar w:fldCharType="end"/>
      </w:r>
      <w:r>
        <w:t xml:space="preserve">: </w:t>
      </w:r>
      <w:r w:rsidRPr="008955C3">
        <w:t>Sidelink UE information</w:t>
      </w:r>
    </w:p>
    <w:p w:rsidR="007647C3" w:rsidRDefault="007647C3" w:rsidP="00386CF2">
      <w:pPr>
        <w:pStyle w:val="ListParagraph"/>
        <w:numPr>
          <w:ilvl w:val="0"/>
          <w:numId w:val="35"/>
        </w:numPr>
        <w:rPr>
          <w:rFonts w:asciiTheme="minorHAnsi" w:hAnsiTheme="minorHAnsi"/>
        </w:rPr>
      </w:pPr>
      <w:r>
        <w:rPr>
          <w:rFonts w:asciiTheme="minorHAnsi" w:hAnsiTheme="minorHAnsi"/>
        </w:rPr>
        <w:t>Idle mode UE checks if the network broadcasts resources for V2X communication; if yes, it starts using those resources.</w:t>
      </w:r>
    </w:p>
    <w:p w:rsidR="00A1482E" w:rsidRPr="00386CF2" w:rsidRDefault="007647C3" w:rsidP="00386CF2">
      <w:pPr>
        <w:pStyle w:val="ListParagraph"/>
        <w:numPr>
          <w:ilvl w:val="0"/>
          <w:numId w:val="35"/>
        </w:numPr>
        <w:rPr>
          <w:rFonts w:asciiTheme="minorHAnsi" w:hAnsiTheme="minorHAnsi"/>
        </w:rPr>
      </w:pPr>
      <w:r>
        <w:rPr>
          <w:rFonts w:asciiTheme="minorHAnsi" w:hAnsiTheme="minorHAnsi"/>
        </w:rPr>
        <w:t xml:space="preserve">RRC Connected </w:t>
      </w:r>
      <w:r w:rsidR="00386CF2" w:rsidRPr="00386CF2">
        <w:rPr>
          <w:rFonts w:asciiTheme="minorHAnsi" w:hAnsiTheme="minorHAnsi"/>
        </w:rPr>
        <w:t xml:space="preserve">UE indicates its interest </w:t>
      </w:r>
      <w:r w:rsidR="00386CF2" w:rsidRPr="00386CF2">
        <w:rPr>
          <w:lang w:eastAsia="zh-CN"/>
        </w:rPr>
        <w:t>to receive V2X sidelink communication,</w:t>
      </w:r>
      <w:r w:rsidR="00386CF2" w:rsidRPr="00386CF2">
        <w:t xml:space="preserve"> as well as to request assignment or release of transmission resources</w:t>
      </w:r>
      <w:r w:rsidR="00386CF2" w:rsidRPr="00386CF2">
        <w:rPr>
          <w:lang w:eastAsia="zh-CN"/>
        </w:rPr>
        <w:t xml:space="preserve"> V2X sidelink communication</w:t>
      </w:r>
    </w:p>
    <w:p w:rsidR="00386CF2" w:rsidRDefault="007647C3" w:rsidP="00386CF2">
      <w:pPr>
        <w:pStyle w:val="ListParagraph"/>
        <w:numPr>
          <w:ilvl w:val="0"/>
          <w:numId w:val="35"/>
        </w:numPr>
        <w:rPr>
          <w:rFonts w:asciiTheme="minorHAnsi" w:hAnsiTheme="minorHAnsi"/>
        </w:rPr>
      </w:pPr>
      <w:r>
        <w:rPr>
          <w:rFonts w:asciiTheme="minorHAnsi" w:hAnsiTheme="minorHAnsi"/>
        </w:rPr>
        <w:t>Network provides resources for V2X communication (or rejects the request) – this can be Mode 1 or Mode 2 resources.</w:t>
      </w:r>
    </w:p>
    <w:p w:rsidR="007647C3" w:rsidRDefault="007647C3" w:rsidP="007647C3">
      <w:pPr>
        <w:rPr>
          <w:rFonts w:asciiTheme="minorHAnsi" w:hAnsiTheme="minorHAnsi"/>
        </w:rPr>
      </w:pPr>
      <w:r>
        <w:rPr>
          <w:rFonts w:asciiTheme="minorHAnsi" w:hAnsiTheme="minorHAnsi"/>
        </w:rPr>
        <w:t>We think, in NR V2X as well the above basic framework can work.</w:t>
      </w:r>
    </w:p>
    <w:p w:rsidR="007647C3" w:rsidRDefault="007647C3" w:rsidP="007647C3">
      <w:pPr>
        <w:rPr>
          <w:rFonts w:asciiTheme="minorHAnsi" w:hAnsiTheme="minorHAnsi"/>
        </w:rPr>
      </w:pPr>
      <w:r>
        <w:rPr>
          <w:rFonts w:asciiTheme="minorHAnsi" w:hAnsiTheme="minorHAnsi"/>
        </w:rPr>
        <w:t xml:space="preserve">As a further step, RAN2 should discuss the content of the </w:t>
      </w:r>
      <w:r w:rsidRPr="004E0C48">
        <w:rPr>
          <w:rFonts w:asciiTheme="minorHAnsi" w:hAnsiTheme="minorHAnsi"/>
          <w:i/>
        </w:rPr>
        <w:t>SidelinkUEInformation</w:t>
      </w:r>
      <w:r>
        <w:rPr>
          <w:rFonts w:asciiTheme="minorHAnsi" w:hAnsiTheme="minorHAnsi"/>
        </w:rPr>
        <w:t xml:space="preserve"> for NR. Following are some of the candidates in addition to the LTE contents</w:t>
      </w:r>
      <w:r w:rsidR="007B7AE5">
        <w:rPr>
          <w:rFonts w:asciiTheme="minorHAnsi" w:hAnsiTheme="minorHAnsi"/>
        </w:rPr>
        <w:t xml:space="preserve"> that should be indicated per V2X flow</w:t>
      </w:r>
      <w:r>
        <w:rPr>
          <w:rFonts w:asciiTheme="minorHAnsi" w:hAnsiTheme="minorHAnsi"/>
        </w:rPr>
        <w:t>:</w:t>
      </w:r>
    </w:p>
    <w:p w:rsidR="007B7AE5" w:rsidRPr="007B7AE5" w:rsidRDefault="007B7AE5" w:rsidP="007B7AE5">
      <w:pPr>
        <w:pStyle w:val="ListParagraph"/>
        <w:numPr>
          <w:ilvl w:val="0"/>
          <w:numId w:val="36"/>
        </w:numPr>
        <w:rPr>
          <w:rFonts w:asciiTheme="minorHAnsi" w:hAnsiTheme="minorHAnsi"/>
        </w:rPr>
      </w:pPr>
      <w:r w:rsidRPr="007B7AE5">
        <w:rPr>
          <w:rFonts w:asciiTheme="minorHAnsi" w:hAnsiTheme="minorHAnsi"/>
        </w:rPr>
        <w:t>QoS (VQI)</w:t>
      </w:r>
    </w:p>
    <w:p w:rsidR="007647C3" w:rsidRPr="007B7AE5" w:rsidRDefault="007647C3" w:rsidP="007B7AE5">
      <w:pPr>
        <w:pStyle w:val="ListParagraph"/>
        <w:numPr>
          <w:ilvl w:val="0"/>
          <w:numId w:val="36"/>
        </w:numPr>
        <w:rPr>
          <w:rFonts w:asciiTheme="minorHAnsi" w:hAnsiTheme="minorHAnsi"/>
        </w:rPr>
      </w:pPr>
      <w:r w:rsidRPr="007B7AE5">
        <w:rPr>
          <w:rFonts w:asciiTheme="minorHAnsi" w:hAnsiTheme="minorHAnsi"/>
        </w:rPr>
        <w:t>Preferred V2X RAT (as indicated by Upper layer)</w:t>
      </w:r>
    </w:p>
    <w:p w:rsidR="007647C3" w:rsidRPr="007B7AE5" w:rsidRDefault="007647C3" w:rsidP="007B7AE5">
      <w:pPr>
        <w:pStyle w:val="ListParagraph"/>
        <w:numPr>
          <w:ilvl w:val="0"/>
          <w:numId w:val="36"/>
        </w:numPr>
        <w:rPr>
          <w:rFonts w:asciiTheme="minorHAnsi" w:hAnsiTheme="minorHAnsi"/>
        </w:rPr>
      </w:pPr>
      <w:r w:rsidRPr="007B7AE5">
        <w:rPr>
          <w:rFonts w:asciiTheme="minorHAnsi" w:hAnsiTheme="minorHAnsi"/>
        </w:rPr>
        <w:t>Preferred V2X Mode (Mode 1 or Mode 2)</w:t>
      </w:r>
    </w:p>
    <w:p w:rsidR="009075D6" w:rsidRDefault="009075D6" w:rsidP="0079575B">
      <w:pPr>
        <w:rPr>
          <w:rFonts w:asciiTheme="minorHAnsi" w:hAnsiTheme="minorHAnsi"/>
          <w:b/>
        </w:rPr>
      </w:pPr>
    </w:p>
    <w:p w:rsidR="008B1AD6" w:rsidRPr="006C47C1" w:rsidRDefault="008B1AD6" w:rsidP="0079575B">
      <w:pPr>
        <w:rPr>
          <w:rFonts w:asciiTheme="minorHAnsi" w:hAnsiTheme="minorHAnsi"/>
          <w:b/>
        </w:rPr>
      </w:pPr>
      <w:r w:rsidRPr="006C47C1">
        <w:rPr>
          <w:rFonts w:asciiTheme="minorHAnsi" w:hAnsiTheme="minorHAnsi"/>
          <w:b/>
        </w:rPr>
        <w:t xml:space="preserve">Proposal </w:t>
      </w:r>
      <w:r w:rsidR="009075D6" w:rsidRPr="006C47C1">
        <w:rPr>
          <w:rFonts w:asciiTheme="minorHAnsi" w:hAnsiTheme="minorHAnsi"/>
          <w:b/>
        </w:rPr>
        <w:t>1</w:t>
      </w:r>
      <w:r w:rsidRPr="006C47C1">
        <w:rPr>
          <w:rFonts w:asciiTheme="minorHAnsi" w:hAnsiTheme="minorHAnsi"/>
          <w:b/>
        </w:rPr>
        <w:t xml:space="preserve">: RAN2 </w:t>
      </w:r>
      <w:r w:rsidR="009075D6" w:rsidRPr="006C47C1">
        <w:rPr>
          <w:rFonts w:asciiTheme="minorHAnsi" w:hAnsiTheme="minorHAnsi"/>
          <w:b/>
        </w:rPr>
        <w:t>agrees to use LTE Mode 3 and Mode 4 framework for NR V2X work</w:t>
      </w:r>
      <w:r w:rsidRPr="006C47C1">
        <w:rPr>
          <w:rFonts w:asciiTheme="minorHAnsi" w:hAnsiTheme="minorHAnsi"/>
          <w:b/>
        </w:rPr>
        <w:t>.</w:t>
      </w:r>
    </w:p>
    <w:p w:rsidR="009075D6" w:rsidRPr="006C47C1" w:rsidRDefault="009075D6" w:rsidP="0079575B">
      <w:pPr>
        <w:rPr>
          <w:rFonts w:asciiTheme="minorHAnsi" w:hAnsiTheme="minorHAnsi"/>
          <w:b/>
        </w:rPr>
      </w:pPr>
      <w:r w:rsidRPr="006C47C1">
        <w:rPr>
          <w:rFonts w:asciiTheme="minorHAnsi" w:hAnsiTheme="minorHAnsi"/>
          <w:b/>
        </w:rPr>
        <w:t xml:space="preserve">Proposal 2: RAN2 discuss following parameters in addition to the LTE contents that should be indicated per V2X flow in a </w:t>
      </w:r>
      <w:r w:rsidRPr="006C47C1">
        <w:rPr>
          <w:rFonts w:asciiTheme="minorHAnsi" w:hAnsiTheme="minorHAnsi"/>
          <w:b/>
          <w:i/>
        </w:rPr>
        <w:t>SidelinkUEInformation</w:t>
      </w:r>
      <w:r w:rsidRPr="006C47C1">
        <w:rPr>
          <w:rFonts w:asciiTheme="minorHAnsi" w:hAnsiTheme="minorHAnsi"/>
          <w:b/>
        </w:rPr>
        <w:t>-like NR message:</w:t>
      </w:r>
    </w:p>
    <w:p w:rsidR="009075D6" w:rsidRPr="006C47C1" w:rsidRDefault="009075D6" w:rsidP="009075D6">
      <w:pPr>
        <w:pStyle w:val="ListParagraph"/>
        <w:numPr>
          <w:ilvl w:val="0"/>
          <w:numId w:val="36"/>
        </w:numPr>
        <w:rPr>
          <w:rFonts w:asciiTheme="minorHAnsi" w:hAnsiTheme="minorHAnsi"/>
          <w:b/>
        </w:rPr>
      </w:pPr>
      <w:r w:rsidRPr="006C47C1">
        <w:rPr>
          <w:rFonts w:asciiTheme="minorHAnsi" w:hAnsiTheme="minorHAnsi"/>
          <w:b/>
        </w:rPr>
        <w:t>QoS (VQI)</w:t>
      </w:r>
    </w:p>
    <w:p w:rsidR="009075D6" w:rsidRPr="006C47C1" w:rsidRDefault="009075D6" w:rsidP="009075D6">
      <w:pPr>
        <w:pStyle w:val="ListParagraph"/>
        <w:numPr>
          <w:ilvl w:val="0"/>
          <w:numId w:val="36"/>
        </w:numPr>
        <w:rPr>
          <w:rFonts w:asciiTheme="minorHAnsi" w:hAnsiTheme="minorHAnsi"/>
          <w:b/>
        </w:rPr>
      </w:pPr>
      <w:r w:rsidRPr="006C47C1">
        <w:rPr>
          <w:rFonts w:asciiTheme="minorHAnsi" w:hAnsiTheme="minorHAnsi"/>
          <w:b/>
        </w:rPr>
        <w:t>Preferred V2X RAT (as indicated by Upper layer)</w:t>
      </w:r>
    </w:p>
    <w:p w:rsidR="009075D6" w:rsidRPr="006C47C1" w:rsidRDefault="009075D6" w:rsidP="009075D6">
      <w:pPr>
        <w:pStyle w:val="ListParagraph"/>
        <w:numPr>
          <w:ilvl w:val="0"/>
          <w:numId w:val="36"/>
        </w:numPr>
        <w:rPr>
          <w:rFonts w:asciiTheme="minorHAnsi" w:hAnsiTheme="minorHAnsi"/>
          <w:b/>
        </w:rPr>
      </w:pPr>
      <w:r w:rsidRPr="006C47C1">
        <w:rPr>
          <w:rFonts w:asciiTheme="minorHAnsi" w:hAnsiTheme="minorHAnsi"/>
          <w:b/>
        </w:rPr>
        <w:lastRenderedPageBreak/>
        <w:t>Preferred V2X Mode (Mode 1 or Mode 2)</w:t>
      </w:r>
    </w:p>
    <w:p w:rsidR="009075D6" w:rsidRPr="0079575B" w:rsidRDefault="009075D6" w:rsidP="0079575B">
      <w:pPr>
        <w:rPr>
          <w:rFonts w:asciiTheme="minorHAnsi" w:hAnsiTheme="minorHAnsi"/>
          <w: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12547E">
        <w:t xml:space="preserve">RRC </w:t>
      </w:r>
      <w:r w:rsidR="000800EA">
        <w:t>framework for sidelink</w:t>
      </w:r>
      <w:r w:rsidR="00914515">
        <w:t>, information to be sent to NW</w:t>
      </w:r>
      <w:r w:rsidR="00830DBA">
        <w:t xml:space="preserve"> for NR V2X WI</w:t>
      </w:r>
      <w:r w:rsidRPr="00FB2234">
        <w:t xml:space="preserve">. Following </w:t>
      </w:r>
      <w:r w:rsidR="00401FE0" w:rsidRPr="00FB2234">
        <w:t>proposal</w:t>
      </w:r>
      <w:r w:rsidR="00830DBA">
        <w:t>s</w:t>
      </w:r>
      <w:r w:rsidRPr="00FB2234">
        <w:t xml:space="preserve"> are made:</w:t>
      </w:r>
    </w:p>
    <w:p w:rsidR="006C47C1" w:rsidRPr="006C47C1" w:rsidRDefault="006C47C1" w:rsidP="006C47C1">
      <w:pPr>
        <w:rPr>
          <w:rFonts w:asciiTheme="minorHAnsi" w:hAnsiTheme="minorHAnsi"/>
          <w:b/>
        </w:rPr>
      </w:pPr>
      <w:r w:rsidRPr="006C47C1">
        <w:rPr>
          <w:rFonts w:asciiTheme="minorHAnsi" w:hAnsiTheme="minorHAnsi"/>
          <w:b/>
        </w:rPr>
        <w:t>Proposal 1: RAN2 agrees to use LTE Mode 3 and Mode 4 framework for NR V2X work.</w:t>
      </w:r>
    </w:p>
    <w:p w:rsidR="006C47C1" w:rsidRPr="006C47C1" w:rsidRDefault="006C47C1" w:rsidP="006C47C1">
      <w:pPr>
        <w:rPr>
          <w:rFonts w:asciiTheme="minorHAnsi" w:hAnsiTheme="minorHAnsi"/>
          <w:b/>
        </w:rPr>
      </w:pPr>
      <w:r w:rsidRPr="006C47C1">
        <w:rPr>
          <w:rFonts w:asciiTheme="minorHAnsi" w:hAnsiTheme="minorHAnsi"/>
          <w:b/>
        </w:rPr>
        <w:t xml:space="preserve">Proposal 2: RAN2 discuss following parameters in addition to the LTE contents that should be indicated per V2X flow in a </w:t>
      </w:r>
      <w:r w:rsidRPr="006C47C1">
        <w:rPr>
          <w:rFonts w:asciiTheme="minorHAnsi" w:hAnsiTheme="minorHAnsi"/>
          <w:b/>
          <w:i/>
        </w:rPr>
        <w:t>SidelinkUEInformation</w:t>
      </w:r>
      <w:r w:rsidRPr="006C47C1">
        <w:rPr>
          <w:rFonts w:asciiTheme="minorHAnsi" w:hAnsiTheme="minorHAnsi"/>
          <w:b/>
        </w:rPr>
        <w:t>-like NR message:</w:t>
      </w:r>
    </w:p>
    <w:p w:rsidR="006C47C1" w:rsidRPr="006C47C1" w:rsidRDefault="006C47C1" w:rsidP="006C47C1">
      <w:pPr>
        <w:pStyle w:val="ListParagraph"/>
        <w:numPr>
          <w:ilvl w:val="0"/>
          <w:numId w:val="36"/>
        </w:numPr>
        <w:rPr>
          <w:rFonts w:asciiTheme="minorHAnsi" w:hAnsiTheme="minorHAnsi"/>
          <w:b/>
        </w:rPr>
      </w:pPr>
      <w:r w:rsidRPr="006C47C1">
        <w:rPr>
          <w:rFonts w:asciiTheme="minorHAnsi" w:hAnsiTheme="minorHAnsi"/>
          <w:b/>
        </w:rPr>
        <w:t>QoS (VQI)</w:t>
      </w:r>
    </w:p>
    <w:p w:rsidR="006C47C1" w:rsidRPr="006C47C1" w:rsidRDefault="006C47C1" w:rsidP="006C47C1">
      <w:pPr>
        <w:pStyle w:val="ListParagraph"/>
        <w:numPr>
          <w:ilvl w:val="0"/>
          <w:numId w:val="36"/>
        </w:numPr>
        <w:rPr>
          <w:rFonts w:asciiTheme="minorHAnsi" w:hAnsiTheme="minorHAnsi"/>
          <w:b/>
        </w:rPr>
      </w:pPr>
      <w:r w:rsidRPr="006C47C1">
        <w:rPr>
          <w:rFonts w:asciiTheme="minorHAnsi" w:hAnsiTheme="minorHAnsi"/>
          <w:b/>
        </w:rPr>
        <w:t>Preferred V2X RAT (as indicated by Upper layer)</w:t>
      </w:r>
    </w:p>
    <w:p w:rsidR="00B97F70" w:rsidRPr="006C47C1" w:rsidRDefault="006C47C1" w:rsidP="00FB2234">
      <w:pPr>
        <w:pStyle w:val="ListParagraph"/>
        <w:numPr>
          <w:ilvl w:val="0"/>
          <w:numId w:val="36"/>
        </w:numPr>
        <w:rPr>
          <w:rFonts w:asciiTheme="minorHAnsi" w:hAnsiTheme="minorHAnsi"/>
          <w:b/>
        </w:rPr>
      </w:pPr>
      <w:r w:rsidRPr="006C47C1">
        <w:rPr>
          <w:rFonts w:asciiTheme="minorHAnsi" w:hAnsiTheme="minorHAnsi"/>
          <w:b/>
        </w:rPr>
        <w:t>Preferred V2X Mode (Mode 1 or Mode 2)</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370FBF">
        <w:t>TS 36.331-f40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60D" w:rsidRDefault="0050160D">
      <w:r>
        <w:separator/>
      </w:r>
    </w:p>
  </w:endnote>
  <w:endnote w:type="continuationSeparator" w:id="0">
    <w:p w:rsidR="0050160D" w:rsidRDefault="0050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60D" w:rsidRDefault="0050160D">
      <w:r>
        <w:separator/>
      </w:r>
    </w:p>
  </w:footnote>
  <w:footnote w:type="continuationSeparator" w:id="0">
    <w:p w:rsidR="0050160D" w:rsidRDefault="00501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1"/>
  </w:num>
  <w:num w:numId="3">
    <w:abstractNumId w:val="26"/>
  </w:num>
  <w:num w:numId="4">
    <w:abstractNumId w:val="19"/>
  </w:num>
  <w:num w:numId="5">
    <w:abstractNumId w:val="16"/>
  </w:num>
  <w:num w:numId="6">
    <w:abstractNumId w:val="32"/>
  </w:num>
  <w:num w:numId="7">
    <w:abstractNumId w:val="17"/>
  </w:num>
  <w:num w:numId="8">
    <w:abstractNumId w:val="14"/>
  </w:num>
  <w:num w:numId="9">
    <w:abstractNumId w:val="29"/>
  </w:num>
  <w:num w:numId="10">
    <w:abstractNumId w:val="13"/>
  </w:num>
  <w:num w:numId="11">
    <w:abstractNumId w:val="3"/>
  </w:num>
  <w:num w:numId="12">
    <w:abstractNumId w:val="28"/>
  </w:num>
  <w:num w:numId="13">
    <w:abstractNumId w:val="9"/>
  </w:num>
  <w:num w:numId="14">
    <w:abstractNumId w:val="18"/>
  </w:num>
  <w:num w:numId="15">
    <w:abstractNumId w:val="3"/>
  </w:num>
  <w:num w:numId="16">
    <w:abstractNumId w:val="3"/>
  </w:num>
  <w:num w:numId="17">
    <w:abstractNumId w:val="2"/>
  </w:num>
  <w:num w:numId="18">
    <w:abstractNumId w:val="12"/>
  </w:num>
  <w:num w:numId="19">
    <w:abstractNumId w:val="21"/>
  </w:num>
  <w:num w:numId="20">
    <w:abstractNumId w:val="23"/>
  </w:num>
  <w:num w:numId="21">
    <w:abstractNumId w:val="11"/>
  </w:num>
  <w:num w:numId="22">
    <w:abstractNumId w:val="22"/>
  </w:num>
  <w:num w:numId="23">
    <w:abstractNumId w:val="0"/>
  </w:num>
  <w:num w:numId="24">
    <w:abstractNumId w:val="10"/>
  </w:num>
  <w:num w:numId="25">
    <w:abstractNumId w:val="27"/>
  </w:num>
  <w:num w:numId="26">
    <w:abstractNumId w:val="25"/>
  </w:num>
  <w:num w:numId="27">
    <w:abstractNumId w:val="8"/>
  </w:num>
  <w:num w:numId="28">
    <w:abstractNumId w:val="7"/>
  </w:num>
  <w:num w:numId="29">
    <w:abstractNumId w:val="4"/>
  </w:num>
  <w:num w:numId="30">
    <w:abstractNumId w:val="30"/>
  </w:num>
  <w:num w:numId="31">
    <w:abstractNumId w:val="6"/>
  </w:num>
  <w:num w:numId="32">
    <w:abstractNumId w:val="20"/>
  </w:num>
  <w:num w:numId="33">
    <w:abstractNumId w:val="24"/>
  </w:num>
  <w:num w:numId="34">
    <w:abstractNumId w:val="5"/>
  </w:num>
  <w:num w:numId="35">
    <w:abstractNumId w:val="15"/>
  </w:num>
  <w:num w:numId="3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019"/>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0EA"/>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60D"/>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767"/>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4515"/>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36E"/>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2AF"/>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45BC2E3"/>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EFEBA-FC81-4BAE-BAC9-B1CC9528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47</cp:revision>
  <cp:lastPrinted>2016-08-12T06:06:00Z</cp:lastPrinted>
  <dcterms:created xsi:type="dcterms:W3CDTF">2018-11-01T13:35:00Z</dcterms:created>
  <dcterms:modified xsi:type="dcterms:W3CDTF">2019-03-28T17:58:00Z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